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0A458">
      <w:pPr>
        <w:pStyle w:val="2"/>
        <w:tabs>
          <w:tab w:val="left" w:pos="1843"/>
        </w:tabs>
        <w:spacing w:before="38"/>
        <w:ind w:left="0" w:leftChars="0" w:firstLine="0" w:firstLineChars="0"/>
        <w:jc w:val="both"/>
        <w:rPr>
          <w:rFonts w:hint="default"/>
          <w:sz w:val="30"/>
          <w:szCs w:val="30"/>
          <w:lang w:val="en-US" w:eastAsia="zh-CN"/>
        </w:rPr>
      </w:pPr>
      <w:bookmarkStart w:id="0" w:name="_bookmark16"/>
      <w:bookmarkEnd w:id="0"/>
      <w:r>
        <w:rPr>
          <w:rFonts w:hint="eastAsia"/>
          <w:sz w:val="30"/>
          <w:szCs w:val="30"/>
          <w:lang w:val="en-US" w:eastAsia="zh-CN"/>
        </w:rPr>
        <w:t>附件一：</w:t>
      </w:r>
    </w:p>
    <w:p w14:paraId="4AE0D07E">
      <w:pPr>
        <w:pStyle w:val="2"/>
        <w:tabs>
          <w:tab w:val="left" w:pos="1843"/>
        </w:tabs>
        <w:spacing w:before="38"/>
        <w:ind w:left="0" w:leftChars="0" w:firstLine="0" w:firstLineChars="0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南湖校区(中区)室内消防水系统改造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监理服务</w:t>
      </w:r>
      <w:r>
        <w:rPr>
          <w:rFonts w:hint="eastAsia" w:ascii="宋体" w:hAnsi="宋体" w:eastAsia="宋体" w:cs="宋体"/>
          <w:sz w:val="36"/>
          <w:szCs w:val="36"/>
        </w:rPr>
        <w:t>采购需求</w:t>
      </w:r>
      <w:bookmarkStart w:id="1" w:name="一、建设项目概况"/>
      <w:bookmarkEnd w:id="1"/>
    </w:p>
    <w:p w14:paraId="5EEDBF70">
      <w:pPr>
        <w:spacing w:before="0"/>
        <w:ind w:right="0"/>
        <w:jc w:val="both"/>
        <w:rPr>
          <w:b/>
          <w:sz w:val="30"/>
          <w:szCs w:val="30"/>
        </w:rPr>
      </w:pPr>
    </w:p>
    <w:p w14:paraId="1A496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right="0" w:firstLine="602" w:firstLineChars="200"/>
        <w:jc w:val="both"/>
        <w:textAlignment w:val="auto"/>
        <w:rPr>
          <w:b/>
          <w:sz w:val="30"/>
          <w:szCs w:val="30"/>
        </w:rPr>
      </w:pPr>
      <w:r>
        <w:rPr>
          <w:b/>
          <w:sz w:val="30"/>
          <w:szCs w:val="30"/>
        </w:rPr>
        <w:t>一、建设项目概况</w:t>
      </w:r>
    </w:p>
    <w:p w14:paraId="65EBFAE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新体育馆地下车库新增水泵房，新增装配式不锈钢300立方一体式消防水池，新增37KW喷淋泵2台，喷淋控制柜一台，新增37KW消火栓泵2台，消火栓泵控制柜1台及配套管件、阀门、线缆，泵房安装2.1*0.9米钢质甲级防火门一套，消防水池外围安装防护栏，泵房内安装照明、管线，开关、插座。泵房内设置巡检装置、除湿器及防雷装置。2、文泉楼接新体新建的泵房，小房间里的湿式报警阀组移出来，移到有排水到的地方，方便以后维保测试。喷淋及消火栓管道需进行开挖，新增DN150喷淋主管800米，DN150消火栓主管600米，新增DN150湿式报警阀1个、DN150信号阀2个，DN150闸阀2个，管道需进行防锈防腐。3、文波楼车库新增水泵房，新增装配式不锈钢210立方一体式消防水池，新增18.5KW喷淋泵2台，喷淋控制柜1台，新增30KW消火栓泵2台，消火栓泵控制柜一台及配套管件、阀门、线缆，泵房安装防火门一侧，两边砌筑砖墙，并安装2.1*0.9米钢质甲级防火门一套，消防水池另外两边外围安装防护栏，泵房内安装照明、管线，开关、插座。泵房管道预留三通接至文澜楼，以备后期文澜楼阶梯教室加装喷淋系统使用。新增加泵房内设置巡检装置、除湿器及防雷装置。4、文澜楼室内消火栓系统管道刷红漆，更换阀门及管道。5、中原楼结合现场情况及消防规范要求将原有喷淋支管拆除，更换新的喷淋管道，管径及喷淋头点位布置按照规范进行，喷淋头采用上喷式喷淋头，更换湿式报警阀。消火栓部分更换室内消火栓，更换损坏的阀门，更换DN65镀锌钢管，安装管道支架，进行消防系统调试。火灾报警系统本次对地下室一层、二层火灾自动报警系统进行改造，将原有报警系统拆除，更换报警管线，更换感烟探测器、声光、手动报警按钮、模块、消火栓按钮，新配置区域报警主机，重新进行编码、调试。中原楼地下车库新增水泵房，新增装配式不锈钢240立方一体式消防水池，新增37KW喷淋泵2台，喷淋控制柜一台，新增37KW消火栓泵2台，消火栓泵控制柜1台及配套管件、阀门、线缆，泵房安装2.1*0.9米钢质甲级防火门一套，消防水池外围安装防护栏，泵房内安装照明、管线，开关、插座。泵房内设置巡检装置、除湿器及防雷装置。</w:t>
      </w:r>
    </w:p>
    <w:p w14:paraId="041AC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left="0" w:right="0" w:firstLine="602" w:firstLineChars="200"/>
        <w:jc w:val="left"/>
        <w:textAlignment w:val="auto"/>
        <w:rPr>
          <w:rFonts w:hint="eastAsia" w:ascii="仿宋" w:hAnsi="仿宋" w:eastAsia="仿宋" w:cs="仿宋"/>
          <w:b/>
          <w:sz w:val="30"/>
          <w:szCs w:val="30"/>
        </w:rPr>
      </w:pPr>
      <w:bookmarkStart w:id="2" w:name="3.2监理服务范围"/>
      <w:bookmarkEnd w:id="2"/>
      <w:bookmarkStart w:id="3" w:name="3.2监理服务范围"/>
      <w:bookmarkEnd w:id="3"/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b/>
          <w:sz w:val="30"/>
          <w:szCs w:val="30"/>
        </w:rPr>
        <w:t>监理服务范围</w:t>
      </w:r>
    </w:p>
    <w:p w14:paraId="15EDF21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投标供应商承担</w:t>
      </w:r>
      <w:r>
        <w:rPr>
          <w:rFonts w:hint="eastAsia" w:cs="仿宋"/>
          <w:sz w:val="30"/>
          <w:szCs w:val="30"/>
          <w:lang w:eastAsia="zh-CN"/>
        </w:rPr>
        <w:t>南湖校区(中区)室内消防水系统改造</w:t>
      </w:r>
      <w:r>
        <w:rPr>
          <w:rFonts w:hint="eastAsia" w:cs="仿宋"/>
          <w:sz w:val="30"/>
          <w:szCs w:val="30"/>
          <w:lang w:val="en-US" w:eastAsia="zh-CN"/>
        </w:rPr>
        <w:t>项目</w:t>
      </w:r>
      <w:r>
        <w:rPr>
          <w:rFonts w:hint="eastAsia" w:ascii="仿宋" w:hAnsi="仿宋" w:eastAsia="仿宋" w:cs="仿宋"/>
          <w:sz w:val="30"/>
          <w:szCs w:val="30"/>
        </w:rPr>
        <w:t>实施全过程的质量、进度、投资及信息安全监控</w:t>
      </w:r>
      <w:r>
        <w:rPr>
          <w:rFonts w:hint="eastAsia" w:cs="仿宋"/>
          <w:sz w:val="30"/>
          <w:szCs w:val="30"/>
          <w:lang w:eastAsia="zh-CN"/>
        </w:rPr>
        <w:t>，</w:t>
      </w:r>
      <w:r>
        <w:rPr>
          <w:rFonts w:hint="eastAsia" w:cs="仿宋"/>
          <w:sz w:val="30"/>
          <w:szCs w:val="30"/>
          <w:lang w:val="en-US" w:eastAsia="zh-CN"/>
        </w:rPr>
        <w:t>项目</w:t>
      </w:r>
      <w:r>
        <w:rPr>
          <w:rFonts w:hint="eastAsia" w:ascii="仿宋" w:hAnsi="仿宋" w:eastAsia="仿宋" w:cs="仿宋"/>
          <w:sz w:val="30"/>
          <w:szCs w:val="30"/>
        </w:rPr>
        <w:t>合同与信息管理，以及协调的责任和义务</w:t>
      </w:r>
      <w:r>
        <w:rPr>
          <w:rFonts w:hint="eastAsia" w:cs="仿宋"/>
          <w:sz w:val="30"/>
          <w:szCs w:val="30"/>
          <w:lang w:eastAsia="zh-CN"/>
        </w:rPr>
        <w:t>，直到项目完成验收审计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483A4EB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本项目要求投标供应商负责项目监理服务的范围包括但不限于：</w:t>
      </w:r>
    </w:p>
    <w:p w14:paraId="0486D41C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588" w:firstLineChars="200"/>
        <w:jc w:val="both"/>
        <w:textAlignment w:val="auto"/>
        <w:rPr>
          <w:rFonts w:hint="eastAsia" w:ascii="仿宋" w:hAnsi="仿宋" w:eastAsia="仿宋" w:cs="仿宋"/>
          <w:spacing w:val="-5"/>
          <w:sz w:val="30"/>
          <w:szCs w:val="30"/>
        </w:rPr>
      </w:pPr>
      <w:r>
        <w:rPr>
          <w:rFonts w:hint="eastAsia" w:ascii="仿宋" w:hAnsi="仿宋" w:eastAsia="仿宋" w:cs="仿宋"/>
          <w:spacing w:val="-3"/>
          <w:sz w:val="30"/>
          <w:szCs w:val="30"/>
        </w:rPr>
        <w:t>理解</w:t>
      </w:r>
      <w:r>
        <w:rPr>
          <w:rFonts w:hint="eastAsia" w:cs="仿宋"/>
          <w:spacing w:val="-3"/>
          <w:sz w:val="30"/>
          <w:szCs w:val="30"/>
          <w:lang w:eastAsia="zh-CN"/>
        </w:rPr>
        <w:t>南湖校区(中区)室内消防水系统改造</w:t>
      </w:r>
      <w:r>
        <w:rPr>
          <w:rFonts w:hint="eastAsia" w:cs="仿宋"/>
          <w:spacing w:val="-3"/>
          <w:sz w:val="30"/>
          <w:szCs w:val="30"/>
          <w:lang w:val="en-US" w:eastAsia="zh-CN"/>
        </w:rPr>
        <w:t>的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项目建设需求，协</w:t>
      </w:r>
      <w:r>
        <w:rPr>
          <w:rFonts w:hint="eastAsia" w:ascii="仿宋" w:hAnsi="仿宋" w:eastAsia="仿宋" w:cs="仿宋"/>
          <w:spacing w:val="-5"/>
          <w:sz w:val="30"/>
          <w:szCs w:val="30"/>
        </w:rPr>
        <w:t>助项目合同签订；</w:t>
      </w:r>
    </w:p>
    <w:p w14:paraId="2A374E75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为项目组织单位和采购人提供咨询支持；</w:t>
      </w:r>
    </w:p>
    <w:p w14:paraId="55D68035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设备采购及清验；</w:t>
      </w:r>
    </w:p>
    <w:p w14:paraId="21E336F3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硬件平台与应用系统实施；</w:t>
      </w:r>
    </w:p>
    <w:p w14:paraId="658B3115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测试与试运行；</w:t>
      </w:r>
    </w:p>
    <w:p w14:paraId="51686307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验收、移交及培训；</w:t>
      </w:r>
    </w:p>
    <w:p w14:paraId="15B2EECB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质保监督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 w14:paraId="7AED2612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组织信息化系统的测试。</w:t>
      </w:r>
    </w:p>
    <w:p w14:paraId="7AACB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left="0" w:right="0" w:firstLine="602" w:firstLineChars="200"/>
        <w:jc w:val="left"/>
        <w:textAlignment w:val="auto"/>
        <w:rPr>
          <w:rFonts w:hint="eastAsia" w:ascii="仿宋" w:hAnsi="仿宋" w:eastAsia="仿宋" w:cs="仿宋"/>
          <w:b/>
          <w:sz w:val="30"/>
          <w:szCs w:val="30"/>
        </w:rPr>
      </w:pPr>
      <w:bookmarkStart w:id="4" w:name="3.3监理服务内容"/>
      <w:bookmarkEnd w:id="4"/>
      <w:bookmarkStart w:id="5" w:name="3.3监理服务内容"/>
      <w:bookmarkEnd w:id="5"/>
      <w:r>
        <w:rPr>
          <w:rFonts w:hint="eastAsia" w:cs="仿宋"/>
          <w:b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监理服务内容</w:t>
      </w:r>
    </w:p>
    <w:p w14:paraId="5EF52B1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1、质量控制</w:t>
      </w:r>
    </w:p>
    <w:p w14:paraId="75BE4E82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596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pacing w:val="-1"/>
          <w:sz w:val="30"/>
          <w:szCs w:val="30"/>
          <w:lang w:eastAsia="zh-CN"/>
        </w:rPr>
        <w:t>（</w:t>
      </w:r>
      <w:r>
        <w:rPr>
          <w:rFonts w:hint="eastAsia" w:cs="仿宋"/>
          <w:spacing w:val="-1"/>
          <w:sz w:val="30"/>
          <w:szCs w:val="30"/>
          <w:lang w:val="en-US" w:eastAsia="zh-CN"/>
        </w:rPr>
        <w:t>1</w:t>
      </w:r>
      <w:r>
        <w:rPr>
          <w:rFonts w:hint="eastAsia" w:cs="仿宋"/>
          <w:spacing w:val="-1"/>
          <w:sz w:val="30"/>
          <w:szCs w:val="30"/>
          <w:lang w:eastAsia="zh-CN"/>
        </w:rPr>
        <w:t>）</w:t>
      </w:r>
      <w:r>
        <w:rPr>
          <w:rFonts w:hint="eastAsia" w:cs="仿宋"/>
          <w:spacing w:val="-1"/>
          <w:sz w:val="30"/>
          <w:szCs w:val="30"/>
          <w:lang w:val="en-US" w:eastAsia="zh-CN"/>
        </w:rPr>
        <w:t>依据</w:t>
      </w:r>
      <w:r>
        <w:rPr>
          <w:rFonts w:hint="eastAsia" w:cs="仿宋"/>
          <w:spacing w:val="-3"/>
          <w:sz w:val="30"/>
          <w:szCs w:val="30"/>
          <w:lang w:eastAsia="zh-CN"/>
        </w:rPr>
        <w:t>南湖校区(中区)室内消防水系统改造</w:t>
      </w:r>
      <w:r>
        <w:rPr>
          <w:rFonts w:hint="eastAsia" w:cs="仿宋"/>
          <w:spacing w:val="-3"/>
          <w:sz w:val="30"/>
          <w:szCs w:val="30"/>
          <w:lang w:val="en-US" w:eastAsia="zh-CN"/>
        </w:rPr>
        <w:t>的项目</w:t>
      </w:r>
      <w:r>
        <w:rPr>
          <w:rFonts w:hint="eastAsia" w:cs="仿宋"/>
          <w:spacing w:val="-1"/>
          <w:sz w:val="30"/>
          <w:szCs w:val="30"/>
          <w:lang w:eastAsia="zh-CN"/>
        </w:rPr>
        <w:t>招标文件、投标文件、项目合同、</w:t>
      </w:r>
      <w:r>
        <w:rPr>
          <w:rFonts w:hint="eastAsia" w:cs="仿宋"/>
          <w:spacing w:val="-1"/>
          <w:sz w:val="30"/>
          <w:szCs w:val="30"/>
          <w:lang w:val="en-US" w:eastAsia="zh-CN"/>
        </w:rPr>
        <w:t>相关技术规范</w:t>
      </w:r>
      <w:r>
        <w:rPr>
          <w:rFonts w:hint="eastAsia" w:cs="仿宋"/>
          <w:spacing w:val="-1"/>
          <w:sz w:val="30"/>
          <w:szCs w:val="30"/>
          <w:lang w:eastAsia="zh-CN"/>
        </w:rPr>
        <w:t>等文件所述内容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审查、监督、控制</w:t>
      </w:r>
      <w:r>
        <w:rPr>
          <w:rFonts w:hint="eastAsia" w:cs="仿宋"/>
          <w:spacing w:val="-3"/>
          <w:sz w:val="30"/>
          <w:szCs w:val="30"/>
          <w:lang w:eastAsia="zh-CN"/>
        </w:rPr>
        <w:t>南湖校区(中区)室内消防水系统改造</w:t>
      </w:r>
      <w:r>
        <w:rPr>
          <w:rFonts w:hint="eastAsia" w:cs="仿宋"/>
          <w:spacing w:val="-3"/>
          <w:sz w:val="30"/>
          <w:szCs w:val="30"/>
          <w:lang w:val="en-US" w:eastAsia="zh-CN"/>
        </w:rPr>
        <w:t>的项目</w:t>
      </w:r>
      <w:r>
        <w:rPr>
          <w:rFonts w:hint="eastAsia" w:ascii="仿宋" w:hAnsi="仿宋" w:eastAsia="仿宋" w:cs="仿宋"/>
          <w:sz w:val="30"/>
          <w:szCs w:val="30"/>
        </w:rPr>
        <w:t>建设质量；</w:t>
      </w:r>
    </w:p>
    <w:p w14:paraId="762C25B2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596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pacing w:val="-1"/>
          <w:sz w:val="30"/>
          <w:szCs w:val="30"/>
          <w:lang w:eastAsia="zh-CN"/>
        </w:rPr>
        <w:t>（</w:t>
      </w:r>
      <w:r>
        <w:rPr>
          <w:rFonts w:hint="eastAsia" w:cs="仿宋"/>
          <w:spacing w:val="-1"/>
          <w:sz w:val="30"/>
          <w:szCs w:val="30"/>
          <w:lang w:val="en-US" w:eastAsia="zh-CN"/>
        </w:rPr>
        <w:t>2</w:t>
      </w:r>
      <w:r>
        <w:rPr>
          <w:rFonts w:hint="eastAsia" w:cs="仿宋"/>
          <w:spacing w:val="-1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采取事前预防、事中控制、事后纠正的监理方式，依据国家法律、法规、标准以及项目合同、设计方案、监理规划、监理实施细则等文件控制项目工</w:t>
      </w:r>
      <w:r>
        <w:rPr>
          <w:rFonts w:hint="eastAsia" w:ascii="仿宋" w:hAnsi="仿宋" w:eastAsia="仿宋" w:cs="仿宋"/>
          <w:sz w:val="30"/>
          <w:szCs w:val="30"/>
        </w:rPr>
        <w:t>程质量；</w:t>
      </w:r>
    </w:p>
    <w:p w14:paraId="48A5AB59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3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组织系统建设质量检查、试运行测试和验收；</w:t>
      </w:r>
    </w:p>
    <w:p w14:paraId="3AD7B430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4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督促施工方整改存在问题；</w:t>
      </w:r>
    </w:p>
    <w:p w14:paraId="55CD234F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pacing w:val="-2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5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参与项目竣工验收和交接。</w:t>
      </w:r>
    </w:p>
    <w:p w14:paraId="0879583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2、进度控制</w:t>
      </w:r>
    </w:p>
    <w:p w14:paraId="5014FE5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left="598" w:leftChars="272" w:right="0" w:rightChars="0" w:firstLine="0" w:firstLineChars="0"/>
        <w:jc w:val="both"/>
        <w:textAlignment w:val="auto"/>
        <w:rPr>
          <w:rFonts w:hint="eastAsia" w:cs="仿宋"/>
          <w:sz w:val="30"/>
          <w:szCs w:val="30"/>
          <w:lang w:eastAsia="zh-CN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审查本项目的系统建设进度计划</w:t>
      </w:r>
      <w:r>
        <w:rPr>
          <w:rFonts w:hint="eastAsia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监督计划的执行</w:t>
      </w:r>
      <w:r>
        <w:rPr>
          <w:rFonts w:hint="eastAsia" w:cs="仿宋"/>
          <w:sz w:val="30"/>
          <w:szCs w:val="30"/>
          <w:lang w:eastAsia="zh-CN"/>
        </w:rPr>
        <w:t>；</w:t>
      </w:r>
    </w:p>
    <w:p w14:paraId="650D1A2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2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发现系统建设进程未能按计划进行时</w:t>
      </w:r>
      <w:r>
        <w:rPr>
          <w:rFonts w:hint="eastAsia" w:cs="仿宋"/>
          <w:spacing w:val="-1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要求施工方调整或修改计划，</w:t>
      </w:r>
      <w:r>
        <w:rPr>
          <w:rFonts w:hint="eastAsia" w:ascii="仿宋" w:hAnsi="仿宋" w:eastAsia="仿宋" w:cs="仿宋"/>
          <w:sz w:val="30"/>
          <w:szCs w:val="30"/>
        </w:rPr>
        <w:t>采取必要措施加快施工进度，以使实际施工进度符合合同的要求。</w:t>
      </w:r>
    </w:p>
    <w:p w14:paraId="7FCF650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3、投资控制</w:t>
      </w:r>
    </w:p>
    <w:p w14:paraId="04B97BD0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审查系统建设进度款申报；</w:t>
      </w:r>
    </w:p>
    <w:p w14:paraId="3533162F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2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严格控制和审查项目变更，核算成本和变化量，报业主审批；</w:t>
      </w:r>
    </w:p>
    <w:p w14:paraId="78C54712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pacing w:val="-1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3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审核施工方的工程量清单和项目竣工结算。</w:t>
      </w:r>
    </w:p>
    <w:p w14:paraId="0CE765C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4、合同管理</w:t>
      </w:r>
    </w:p>
    <w:p w14:paraId="552550DC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协助业主与施工方签订合同；</w:t>
      </w:r>
    </w:p>
    <w:p w14:paraId="02B8F0A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2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监督检查施工方履行合同；</w:t>
      </w:r>
    </w:p>
    <w:p w14:paraId="5B44408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3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协助业主处理</w:t>
      </w:r>
      <w:r>
        <w:rPr>
          <w:rFonts w:hint="eastAsia" w:cs="仿宋"/>
          <w:spacing w:val="-3"/>
          <w:sz w:val="30"/>
          <w:szCs w:val="30"/>
          <w:lang w:eastAsia="zh-CN"/>
        </w:rPr>
        <w:t>南湖校区(中区)室内消防水系统改造</w:t>
      </w:r>
      <w:r>
        <w:rPr>
          <w:rFonts w:hint="eastAsia" w:cs="仿宋"/>
          <w:spacing w:val="-3"/>
          <w:sz w:val="30"/>
          <w:szCs w:val="30"/>
          <w:lang w:val="en-US" w:eastAsia="zh-CN"/>
        </w:rPr>
        <w:t>项目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实施的每个过程出现的</w:t>
      </w:r>
      <w:r>
        <w:rPr>
          <w:rFonts w:hint="eastAsia" w:ascii="仿宋" w:hAnsi="仿宋" w:eastAsia="仿宋" w:cs="仿宋"/>
          <w:sz w:val="30"/>
          <w:szCs w:val="30"/>
        </w:rPr>
        <w:t>违约、索赔、延期、分项、纠纷调解及仲裁等问题。</w:t>
      </w:r>
    </w:p>
    <w:p w14:paraId="1212EC4F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5、信息管理</w:t>
      </w:r>
    </w:p>
    <w:p w14:paraId="3EBCD4F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及时向业主提交反映项目动态和监理工作情况的项目文档；</w:t>
      </w:r>
    </w:p>
    <w:p w14:paraId="6802D939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596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pacing w:val="-1"/>
          <w:sz w:val="30"/>
          <w:szCs w:val="30"/>
          <w:lang w:eastAsia="zh-CN"/>
        </w:rPr>
        <w:t>（</w:t>
      </w:r>
      <w:r>
        <w:rPr>
          <w:rFonts w:hint="eastAsia" w:cs="仿宋"/>
          <w:spacing w:val="-1"/>
          <w:sz w:val="30"/>
          <w:szCs w:val="30"/>
          <w:lang w:val="en-US" w:eastAsia="zh-CN"/>
        </w:rPr>
        <w:t>2</w:t>
      </w:r>
      <w:r>
        <w:rPr>
          <w:rFonts w:hint="eastAsia" w:cs="仿宋"/>
          <w:spacing w:val="-1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督促、检查施工方及时完成各阶段设备资料、项目技术资料的整理和</w:t>
      </w:r>
      <w:r>
        <w:rPr>
          <w:rFonts w:hint="eastAsia" w:ascii="仿宋" w:hAnsi="仿宋" w:eastAsia="仿宋" w:cs="仿宋"/>
          <w:sz w:val="30"/>
          <w:szCs w:val="30"/>
        </w:rPr>
        <w:t>归档工作；</w:t>
      </w:r>
    </w:p>
    <w:p w14:paraId="4E6D3D8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3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转发业主发出的一切指示、通知和业务联系单；</w:t>
      </w:r>
    </w:p>
    <w:p w14:paraId="6E54290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4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当系统建设出现质量问题或严重偏离计划时，应及时向业主报告，并</w:t>
      </w:r>
      <w:r>
        <w:rPr>
          <w:rFonts w:hint="eastAsia" w:ascii="仿宋" w:hAnsi="仿宋" w:eastAsia="仿宋" w:cs="仿宋"/>
          <w:sz w:val="30"/>
          <w:szCs w:val="30"/>
        </w:rPr>
        <w:t>提出对策建议，同时督促施工方尽快采取措施。</w:t>
      </w:r>
    </w:p>
    <w:p w14:paraId="5531033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6、组织协调</w:t>
      </w:r>
    </w:p>
    <w:p w14:paraId="1072D2B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确定施工方的工作范围和职责；</w:t>
      </w:r>
    </w:p>
    <w:p w14:paraId="60708019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2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监督各方履行职责，协调各方的工作关系；</w:t>
      </w:r>
    </w:p>
    <w:p w14:paraId="653C254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3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建立畅通的沟通平台和沟通渠道，采取有效措施使项目信息在有关各方之间保持顺畅流通，积极协调项目各方之间的关系，推动项目实施过程中问题</w:t>
      </w:r>
      <w:r>
        <w:rPr>
          <w:rFonts w:hint="eastAsia" w:ascii="仿宋" w:hAnsi="仿宋" w:eastAsia="仿宋" w:cs="仿宋"/>
          <w:sz w:val="30"/>
          <w:szCs w:val="30"/>
        </w:rPr>
        <w:t>的解决。</w:t>
      </w:r>
    </w:p>
    <w:p w14:paraId="4DBCA402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val="en-US" w:eastAsia="zh-CN"/>
        </w:rPr>
        <w:t>7、</w:t>
      </w:r>
      <w:r>
        <w:rPr>
          <w:rFonts w:hint="eastAsia" w:ascii="仿宋" w:hAnsi="仿宋" w:eastAsia="仿宋" w:cs="仿宋"/>
          <w:sz w:val="30"/>
          <w:szCs w:val="30"/>
        </w:rPr>
        <w:t>施工安全监督</w:t>
      </w:r>
    </w:p>
    <w:p w14:paraId="5618FCAC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检查督促施工方建立、完善安全生产制度；</w:t>
      </w:r>
    </w:p>
    <w:p w14:paraId="7BDA134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2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组织工程安全事故的调查与处理。</w:t>
      </w:r>
    </w:p>
    <w:p w14:paraId="23649A99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7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left="0" w:right="0" w:rightChars="0" w:firstLine="602" w:firstLineChars="200"/>
        <w:jc w:val="left"/>
        <w:textAlignment w:val="auto"/>
        <w:rPr>
          <w:b/>
          <w:sz w:val="30"/>
          <w:szCs w:val="30"/>
        </w:rPr>
      </w:pPr>
      <w:bookmarkStart w:id="6" w:name="3.4监理机构及人员要求"/>
      <w:bookmarkEnd w:id="6"/>
      <w:bookmarkStart w:id="7" w:name="3.4监理机构及人员要求"/>
      <w:bookmarkEnd w:id="7"/>
      <w:r>
        <w:rPr>
          <w:rFonts w:hint="eastAsia"/>
          <w:b/>
          <w:sz w:val="30"/>
          <w:szCs w:val="30"/>
          <w:lang w:val="en-US" w:eastAsia="zh-CN"/>
        </w:rPr>
        <w:t>四、</w:t>
      </w:r>
      <w:r>
        <w:rPr>
          <w:b/>
          <w:sz w:val="30"/>
          <w:szCs w:val="30"/>
        </w:rPr>
        <w:t>监理机构及人员要求</w:t>
      </w:r>
    </w:p>
    <w:p w14:paraId="09ACDD9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line="20" w:lineRule="atLeast"/>
        <w:ind w:right="0" w:firstLine="600" w:firstLineChars="200"/>
        <w:jc w:val="left"/>
        <w:textAlignment w:val="auto"/>
        <w:rPr>
          <w:sz w:val="30"/>
          <w:szCs w:val="30"/>
        </w:rPr>
      </w:pPr>
      <w:r>
        <w:rPr>
          <w:sz w:val="30"/>
          <w:szCs w:val="30"/>
        </w:rPr>
        <w:t>本项目监理服务项目的中标单位应组建项目监理组，该监理组应该满足以下要求：</w:t>
      </w:r>
    </w:p>
    <w:p w14:paraId="6166EC7E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3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right="0" w:rightChars="0" w:firstLine="568" w:firstLineChars="200"/>
        <w:jc w:val="left"/>
        <w:textAlignment w:val="auto"/>
        <w:rPr>
          <w:sz w:val="30"/>
          <w:szCs w:val="30"/>
        </w:rPr>
      </w:pPr>
      <w:r>
        <w:rPr>
          <w:rFonts w:hint="eastAsia"/>
          <w:spacing w:val="-8"/>
          <w:sz w:val="30"/>
          <w:szCs w:val="30"/>
          <w:lang w:eastAsia="zh-CN"/>
        </w:rPr>
        <w:t>（</w:t>
      </w:r>
      <w:r>
        <w:rPr>
          <w:rFonts w:hint="eastAsia"/>
          <w:spacing w:val="-8"/>
          <w:sz w:val="30"/>
          <w:szCs w:val="30"/>
          <w:lang w:val="en-US" w:eastAsia="zh-CN"/>
        </w:rPr>
        <w:t>1</w:t>
      </w:r>
      <w:r>
        <w:rPr>
          <w:rFonts w:hint="eastAsia"/>
          <w:spacing w:val="-8"/>
          <w:sz w:val="30"/>
          <w:szCs w:val="30"/>
          <w:lang w:eastAsia="zh-CN"/>
        </w:rPr>
        <w:t>）</w:t>
      </w:r>
      <w:r>
        <w:rPr>
          <w:spacing w:val="-8"/>
          <w:sz w:val="30"/>
          <w:szCs w:val="30"/>
        </w:rPr>
        <w:t xml:space="preserve">投标单位必须成立监理项目组，至少配备 </w:t>
      </w:r>
      <w:r>
        <w:rPr>
          <w:sz w:val="30"/>
          <w:szCs w:val="30"/>
        </w:rPr>
        <w:t>2</w:t>
      </w:r>
      <w:r>
        <w:rPr>
          <w:spacing w:val="-8"/>
          <w:sz w:val="30"/>
          <w:szCs w:val="30"/>
        </w:rPr>
        <w:t xml:space="preserve"> 名及以上专业对口的监理</w:t>
      </w:r>
      <w:r>
        <w:rPr>
          <w:spacing w:val="-6"/>
          <w:sz w:val="30"/>
          <w:szCs w:val="30"/>
        </w:rPr>
        <w:t>工程师。</w:t>
      </w:r>
    </w:p>
    <w:p w14:paraId="08C2FEEB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3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right="0" w:rightChars="0" w:firstLine="596" w:firstLineChars="200"/>
        <w:jc w:val="left"/>
        <w:textAlignment w:val="auto"/>
        <w:rPr>
          <w:sz w:val="30"/>
          <w:szCs w:val="30"/>
        </w:rPr>
      </w:pPr>
      <w:r>
        <w:rPr>
          <w:rFonts w:hint="eastAsia"/>
          <w:spacing w:val="-1"/>
          <w:sz w:val="30"/>
          <w:szCs w:val="30"/>
          <w:lang w:eastAsia="zh-CN"/>
        </w:rPr>
        <w:t>（</w:t>
      </w:r>
      <w:r>
        <w:rPr>
          <w:rFonts w:hint="eastAsia"/>
          <w:spacing w:val="-1"/>
          <w:sz w:val="30"/>
          <w:szCs w:val="30"/>
          <w:lang w:val="en-US" w:eastAsia="zh-CN"/>
        </w:rPr>
        <w:t>2</w:t>
      </w:r>
      <w:bookmarkStart w:id="13" w:name="_GoBack"/>
      <w:bookmarkEnd w:id="13"/>
      <w:r>
        <w:rPr>
          <w:rFonts w:hint="eastAsia"/>
          <w:spacing w:val="-1"/>
          <w:sz w:val="30"/>
          <w:szCs w:val="30"/>
          <w:lang w:eastAsia="zh-CN"/>
        </w:rPr>
        <w:t>）</w:t>
      </w:r>
      <w:r>
        <w:rPr>
          <w:spacing w:val="-1"/>
          <w:sz w:val="30"/>
          <w:szCs w:val="30"/>
        </w:rPr>
        <w:t>服务方式：要求中标的投标供应商以驻施工现场监理为主要方式进行，</w:t>
      </w:r>
      <w:r>
        <w:rPr>
          <w:sz w:val="30"/>
          <w:szCs w:val="30"/>
        </w:rPr>
        <w:t>同时，在设工作场所和必要的办公、通讯条件、软硬件设备和交通工具，保证能正常地开展工程监理工作。</w:t>
      </w:r>
    </w:p>
    <w:p w14:paraId="0114205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7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left="0" w:right="0" w:rightChars="0" w:firstLine="602" w:firstLineChars="200"/>
        <w:jc w:val="left"/>
        <w:textAlignment w:val="auto"/>
        <w:rPr>
          <w:rFonts w:hint="eastAsia"/>
          <w:b/>
          <w:sz w:val="30"/>
          <w:szCs w:val="30"/>
          <w:lang w:val="en-US" w:eastAsia="zh-CN"/>
        </w:rPr>
      </w:pPr>
      <w:bookmarkStart w:id="8" w:name="3.5对文档的管理要求"/>
      <w:bookmarkEnd w:id="8"/>
      <w:bookmarkStart w:id="9" w:name="3.5对文档的管理要求"/>
      <w:bookmarkEnd w:id="9"/>
      <w:r>
        <w:rPr>
          <w:rFonts w:hint="eastAsia"/>
          <w:b/>
          <w:sz w:val="30"/>
          <w:szCs w:val="30"/>
          <w:lang w:val="en-US" w:eastAsia="zh-CN"/>
        </w:rPr>
        <w:t>五、对文档的管理要求</w:t>
      </w:r>
    </w:p>
    <w:p w14:paraId="33C2DAC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20" w:lineRule="atLeas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1、监理用表</w:t>
      </w:r>
    </w:p>
    <w:p w14:paraId="31DF591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20" w:lineRule="atLeast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根据《工程监理规范》编制的监理表格，规范施工单位的申报格式及内容</w:t>
      </w:r>
      <w:r>
        <w:rPr>
          <w:rFonts w:hint="eastAsia" w:cs="仿宋"/>
          <w:sz w:val="30"/>
          <w:szCs w:val="30"/>
          <w:lang w:eastAsia="zh-CN"/>
        </w:rPr>
        <w:t>，</w:t>
      </w:r>
      <w:r>
        <w:rPr>
          <w:rFonts w:hint="eastAsia" w:cs="仿宋"/>
          <w:sz w:val="30"/>
          <w:szCs w:val="30"/>
          <w:lang w:val="en-US" w:eastAsia="zh-CN"/>
        </w:rPr>
        <w:t>包括但不限于以下用表：</w:t>
      </w:r>
    </w:p>
    <w:tbl>
      <w:tblPr>
        <w:tblStyle w:val="6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2"/>
        <w:gridCol w:w="5977"/>
      </w:tblGrid>
      <w:tr w14:paraId="7E3512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962" w:type="dxa"/>
          </w:tcPr>
          <w:p w14:paraId="16B0F38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5977" w:type="dxa"/>
          </w:tcPr>
          <w:p w14:paraId="67BBFC1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表格名称</w:t>
            </w:r>
          </w:p>
        </w:tc>
      </w:tr>
      <w:tr w14:paraId="49A86B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</w:tcPr>
          <w:p w14:paraId="77EF0EE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5977" w:type="dxa"/>
          </w:tcPr>
          <w:p w14:paraId="55B762E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工程开工/复工报审表</w:t>
            </w:r>
          </w:p>
        </w:tc>
      </w:tr>
      <w:tr w14:paraId="30D88D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53CD25E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</w:t>
            </w:r>
          </w:p>
        </w:tc>
        <w:tc>
          <w:tcPr>
            <w:tcW w:w="5977" w:type="dxa"/>
            <w:vAlign w:val="top"/>
          </w:tcPr>
          <w:p w14:paraId="15D9B7E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施工方案/进度计划报审表</w:t>
            </w:r>
          </w:p>
        </w:tc>
      </w:tr>
      <w:tr w14:paraId="184048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514F4D5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</w:t>
            </w:r>
          </w:p>
        </w:tc>
        <w:tc>
          <w:tcPr>
            <w:tcW w:w="5977" w:type="dxa"/>
            <w:vAlign w:val="top"/>
          </w:tcPr>
          <w:p w14:paraId="2D47FB5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进场材料/购配件/设备报审表</w:t>
            </w:r>
          </w:p>
        </w:tc>
      </w:tr>
      <w:tr w14:paraId="42C029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50FED35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</w:t>
            </w:r>
          </w:p>
        </w:tc>
        <w:tc>
          <w:tcPr>
            <w:tcW w:w="5977" w:type="dxa"/>
            <w:vAlign w:val="top"/>
          </w:tcPr>
          <w:p w14:paraId="1D0A4A0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进场施工设备报验单</w:t>
            </w:r>
          </w:p>
        </w:tc>
      </w:tr>
      <w:tr w14:paraId="21A00A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11A3D9E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</w:t>
            </w:r>
          </w:p>
        </w:tc>
        <w:tc>
          <w:tcPr>
            <w:tcW w:w="5977" w:type="dxa"/>
            <w:vAlign w:val="top"/>
          </w:tcPr>
          <w:p w14:paraId="30FA3DB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工程报验单</w:t>
            </w:r>
          </w:p>
        </w:tc>
      </w:tr>
      <w:tr w14:paraId="142856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62B1216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6</w:t>
            </w:r>
          </w:p>
        </w:tc>
        <w:tc>
          <w:tcPr>
            <w:tcW w:w="5977" w:type="dxa"/>
            <w:vAlign w:val="top"/>
          </w:tcPr>
          <w:p w14:paraId="73F2A6A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延长工期申报表</w:t>
            </w:r>
          </w:p>
        </w:tc>
      </w:tr>
      <w:tr w14:paraId="6FE932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7C8E862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7</w:t>
            </w:r>
          </w:p>
        </w:tc>
        <w:tc>
          <w:tcPr>
            <w:tcW w:w="5977" w:type="dxa"/>
            <w:vAlign w:val="top"/>
          </w:tcPr>
          <w:p w14:paraId="113EE31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承包商申请表(通用)/回复</w:t>
            </w:r>
          </w:p>
        </w:tc>
      </w:tr>
      <w:tr w14:paraId="601A6F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1501956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</w:t>
            </w:r>
          </w:p>
        </w:tc>
        <w:tc>
          <w:tcPr>
            <w:tcW w:w="5977" w:type="dxa"/>
            <w:vAlign w:val="top"/>
          </w:tcPr>
          <w:p w14:paraId="0E046EE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工程变更单</w:t>
            </w:r>
          </w:p>
        </w:tc>
      </w:tr>
      <w:tr w14:paraId="4F704B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2FB133D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</w:t>
            </w:r>
          </w:p>
        </w:tc>
        <w:tc>
          <w:tcPr>
            <w:tcW w:w="5977" w:type="dxa"/>
            <w:vAlign w:val="top"/>
          </w:tcPr>
          <w:p w14:paraId="5250A4F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监理工程师通知</w:t>
            </w:r>
          </w:p>
        </w:tc>
      </w:tr>
      <w:tr w14:paraId="381079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05509FC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10</w:t>
            </w:r>
          </w:p>
        </w:tc>
        <w:tc>
          <w:tcPr>
            <w:tcW w:w="5977" w:type="dxa"/>
            <w:vAlign w:val="top"/>
          </w:tcPr>
          <w:p w14:paraId="5A8EF35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审核纪录</w:t>
            </w:r>
          </w:p>
        </w:tc>
      </w:tr>
      <w:tr w14:paraId="41BB43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1880452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11</w:t>
            </w:r>
          </w:p>
        </w:tc>
        <w:tc>
          <w:tcPr>
            <w:tcW w:w="5977" w:type="dxa"/>
            <w:vAlign w:val="top"/>
          </w:tcPr>
          <w:p w14:paraId="210F5AB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工程开工/复工令</w:t>
            </w:r>
          </w:p>
        </w:tc>
      </w:tr>
      <w:tr w14:paraId="68E27D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1F1406A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12</w:t>
            </w:r>
          </w:p>
        </w:tc>
        <w:tc>
          <w:tcPr>
            <w:tcW w:w="5977" w:type="dxa"/>
            <w:vAlign w:val="top"/>
          </w:tcPr>
          <w:p w14:paraId="7392C90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工程暂停令</w:t>
            </w:r>
          </w:p>
        </w:tc>
      </w:tr>
      <w:tr w14:paraId="5FC673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1774445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13</w:t>
            </w:r>
          </w:p>
        </w:tc>
        <w:tc>
          <w:tcPr>
            <w:tcW w:w="5977" w:type="dxa"/>
            <w:vAlign w:val="top"/>
          </w:tcPr>
          <w:p w14:paraId="47B5CC3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工程竣工移交证书</w:t>
            </w:r>
          </w:p>
        </w:tc>
      </w:tr>
      <w:tr w14:paraId="459072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6C43BCF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14</w:t>
            </w:r>
          </w:p>
        </w:tc>
        <w:tc>
          <w:tcPr>
            <w:tcW w:w="5977" w:type="dxa"/>
            <w:vAlign w:val="top"/>
          </w:tcPr>
          <w:p w14:paraId="4C91A45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备忘录</w:t>
            </w:r>
          </w:p>
        </w:tc>
      </w:tr>
      <w:tr w14:paraId="496DF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6373D4E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15</w:t>
            </w:r>
          </w:p>
        </w:tc>
        <w:tc>
          <w:tcPr>
            <w:tcW w:w="5977" w:type="dxa"/>
            <w:vAlign w:val="top"/>
          </w:tcPr>
          <w:p w14:paraId="1CADC9B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会议纪要</w:t>
            </w:r>
          </w:p>
        </w:tc>
      </w:tr>
      <w:tr w14:paraId="2486CB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53CBE15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16</w:t>
            </w:r>
          </w:p>
        </w:tc>
        <w:tc>
          <w:tcPr>
            <w:tcW w:w="5977" w:type="dxa"/>
            <w:vAlign w:val="top"/>
          </w:tcPr>
          <w:p w14:paraId="1837E6B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验收纪录</w:t>
            </w:r>
          </w:p>
        </w:tc>
      </w:tr>
      <w:tr w14:paraId="211D56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45301D4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17</w:t>
            </w:r>
          </w:p>
        </w:tc>
        <w:tc>
          <w:tcPr>
            <w:tcW w:w="5977" w:type="dxa"/>
            <w:vAlign w:val="top"/>
          </w:tcPr>
          <w:p w14:paraId="7894BBD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测试（试验）记录</w:t>
            </w:r>
          </w:p>
        </w:tc>
      </w:tr>
      <w:tr w14:paraId="72D746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7912E51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18</w:t>
            </w:r>
          </w:p>
        </w:tc>
        <w:tc>
          <w:tcPr>
            <w:tcW w:w="5977" w:type="dxa"/>
            <w:vAlign w:val="top"/>
          </w:tcPr>
          <w:p w14:paraId="739957E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工程费用支付证书</w:t>
            </w:r>
          </w:p>
        </w:tc>
      </w:tr>
      <w:tr w14:paraId="6BA349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23DF155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19</w:t>
            </w:r>
          </w:p>
        </w:tc>
        <w:tc>
          <w:tcPr>
            <w:tcW w:w="5977" w:type="dxa"/>
            <w:vAlign w:val="top"/>
          </w:tcPr>
          <w:p w14:paraId="7027A90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索赔申报表</w:t>
            </w:r>
          </w:p>
        </w:tc>
      </w:tr>
    </w:tbl>
    <w:p w14:paraId="444CA5F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20" w:lineRule="atLeas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2、对施工单位资料的监督</w:t>
      </w:r>
    </w:p>
    <w:p w14:paraId="648863B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20" w:lineRule="atLeast"/>
        <w:ind w:left="0" w:right="0" w:firstLine="6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7"/>
          <w:sz w:val="30"/>
          <w:szCs w:val="30"/>
        </w:rPr>
        <w:t>施工单位工程技术资料管理必须达到及时、准确、齐全、按时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备案验收。监理</w:t>
      </w:r>
      <w:r>
        <w:rPr>
          <w:rFonts w:hint="eastAsia" w:cs="仿宋"/>
          <w:spacing w:val="-11"/>
          <w:sz w:val="30"/>
          <w:szCs w:val="30"/>
          <w:lang w:val="en-US" w:eastAsia="zh-CN"/>
        </w:rPr>
        <w:t>单位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依有关的验收规定要求定期检查施工单位资料的归档工作，对必</w:t>
      </w:r>
      <w:r>
        <w:rPr>
          <w:rFonts w:hint="eastAsia" w:ascii="仿宋" w:hAnsi="仿宋" w:eastAsia="仿宋" w:cs="仿宋"/>
          <w:sz w:val="30"/>
          <w:szCs w:val="30"/>
        </w:rPr>
        <w:t>需的施工中间记录亦要求做好签证保存工作。</w:t>
      </w:r>
    </w:p>
    <w:p w14:paraId="2F72AFD4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7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left="0" w:right="0" w:rightChars="0" w:firstLine="602" w:firstLineChars="200"/>
        <w:jc w:val="left"/>
        <w:textAlignment w:val="auto"/>
        <w:rPr>
          <w:rFonts w:hint="eastAsia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  <w:lang w:val="en-US" w:eastAsia="zh-CN"/>
        </w:rPr>
        <w:t>六、报价要求</w:t>
      </w:r>
    </w:p>
    <w:p w14:paraId="6008F82A">
      <w:pPr>
        <w:pStyle w:val="3"/>
        <w:spacing w:before="1"/>
        <w:jc w:val="left"/>
        <w:rPr>
          <w:b/>
          <w:sz w:val="19"/>
        </w:rPr>
      </w:pPr>
    </w:p>
    <w:p w14:paraId="7EC432F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564" w:firstLineChars="200"/>
        <w:jc w:val="left"/>
        <w:textAlignment w:val="auto"/>
        <w:rPr>
          <w:sz w:val="30"/>
          <w:szCs w:val="30"/>
        </w:rPr>
      </w:pPr>
      <w:r>
        <w:rPr>
          <w:spacing w:val="-9"/>
          <w:sz w:val="30"/>
          <w:szCs w:val="30"/>
        </w:rPr>
        <w:t>供应商投标报价必须包含以上全部工作所需的一切费用，即投标总报价为“交</w:t>
      </w:r>
      <w:r>
        <w:rPr>
          <w:spacing w:val="-10"/>
          <w:sz w:val="30"/>
          <w:szCs w:val="30"/>
        </w:rPr>
        <w:t>钥匙”价。对在合同实施过程中可能发生的其它费用</w:t>
      </w:r>
      <w:r>
        <w:rPr>
          <w:sz w:val="30"/>
          <w:szCs w:val="30"/>
        </w:rPr>
        <w:t>（</w:t>
      </w:r>
      <w:r>
        <w:rPr>
          <w:spacing w:val="-8"/>
          <w:sz w:val="30"/>
          <w:szCs w:val="30"/>
        </w:rPr>
        <w:t>如：增加耗材、材料涨价、</w:t>
      </w:r>
      <w:r>
        <w:rPr>
          <w:sz w:val="30"/>
          <w:szCs w:val="30"/>
        </w:rPr>
        <w:t>人工、运输成本增加等因素），招标方概不负责。</w:t>
      </w:r>
    </w:p>
    <w:p w14:paraId="2118FAE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564" w:firstLineChars="200"/>
        <w:jc w:val="left"/>
        <w:textAlignment w:val="auto"/>
        <w:rPr>
          <w:sz w:val="30"/>
          <w:szCs w:val="30"/>
        </w:rPr>
      </w:pPr>
      <w:r>
        <w:rPr>
          <w:spacing w:val="-9"/>
          <w:sz w:val="30"/>
          <w:szCs w:val="30"/>
        </w:rPr>
        <w:t>对于本招标文件未列明，而供应商认为必需的费用(如交通费、食宿费、资料费等等)也需</w:t>
      </w:r>
      <w:r>
        <w:rPr>
          <w:rFonts w:hint="eastAsia"/>
          <w:spacing w:val="-9"/>
          <w:sz w:val="30"/>
          <w:szCs w:val="30"/>
          <w:lang w:val="en-US" w:eastAsia="zh-CN"/>
        </w:rPr>
        <w:t>包含在</w:t>
      </w:r>
      <w:r>
        <w:rPr>
          <w:spacing w:val="-9"/>
          <w:sz w:val="30"/>
          <w:szCs w:val="30"/>
        </w:rPr>
        <w:t>投标总报价</w:t>
      </w:r>
      <w:r>
        <w:rPr>
          <w:rFonts w:hint="eastAsia"/>
          <w:spacing w:val="-9"/>
          <w:sz w:val="30"/>
          <w:szCs w:val="30"/>
          <w:lang w:val="en-US" w:eastAsia="zh-CN"/>
        </w:rPr>
        <w:t>中</w:t>
      </w:r>
      <w:r>
        <w:rPr>
          <w:spacing w:val="-9"/>
          <w:sz w:val="30"/>
          <w:szCs w:val="30"/>
        </w:rPr>
        <w:t>。在合同实施时，采购人将不予支付中标供应商没有</w:t>
      </w:r>
      <w:r>
        <w:rPr>
          <w:sz w:val="30"/>
          <w:szCs w:val="30"/>
        </w:rPr>
        <w:t>列入的项目费用，并认为此项目的费用已包括在投标总报价中。</w:t>
      </w:r>
    </w:p>
    <w:p w14:paraId="598CB246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7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right="0" w:rightChars="0" w:firstLine="602" w:firstLineChars="200"/>
        <w:jc w:val="left"/>
        <w:textAlignment w:val="auto"/>
        <w:rPr>
          <w:rFonts w:hint="eastAsia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  <w:lang w:val="en-US" w:eastAsia="zh-CN"/>
        </w:rPr>
        <w:t>七、付款方式</w:t>
      </w:r>
    </w:p>
    <w:p w14:paraId="5572849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564" w:firstLineChars="200"/>
        <w:jc w:val="left"/>
        <w:textAlignment w:val="auto"/>
        <w:rPr>
          <w:spacing w:val="-9"/>
          <w:sz w:val="30"/>
          <w:szCs w:val="30"/>
        </w:rPr>
      </w:pPr>
      <w:r>
        <w:rPr>
          <w:spacing w:val="-9"/>
          <w:sz w:val="30"/>
          <w:szCs w:val="30"/>
        </w:rPr>
        <w:t>项目付款根据教育部拨付学校专项资金来源进度安排支付</w:t>
      </w:r>
      <w:r>
        <w:rPr>
          <w:rFonts w:hint="eastAsia"/>
          <w:spacing w:val="-9"/>
          <w:sz w:val="30"/>
          <w:szCs w:val="30"/>
          <w:lang w:eastAsia="zh-CN"/>
        </w:rPr>
        <w:t>。</w:t>
      </w:r>
      <w:bookmarkStart w:id="10" w:name="3.7付款方式"/>
      <w:bookmarkEnd w:id="10"/>
      <w:bookmarkStart w:id="11" w:name="3.7付款方式"/>
      <w:bookmarkEnd w:id="11"/>
      <w:bookmarkStart w:id="12" w:name="第四章 评标方法和标准"/>
      <w:bookmarkEnd w:id="12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7B718">
    <w:pPr>
      <w:pStyle w:val="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A61DC0"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 w:val="0"/>
      <w:snapToGrid w:val="0"/>
      <w:textAlignment w:val="auto"/>
    </w:pPr>
    <w:r>
      <w:br w:type="textWrapping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FC4BB7"/>
    <w:multiLevelType w:val="singleLevel"/>
    <w:tmpl w:val="37FC4B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jOWI2YTQxYTM2Zjk5NzcwNmE0YjBkYmFkM2JlNmIifQ=="/>
  </w:docVars>
  <w:rsids>
    <w:rsidRoot w:val="00000000"/>
    <w:rsid w:val="00BE1545"/>
    <w:rsid w:val="01C65D40"/>
    <w:rsid w:val="02042854"/>
    <w:rsid w:val="021358C1"/>
    <w:rsid w:val="02DB72DE"/>
    <w:rsid w:val="0388408C"/>
    <w:rsid w:val="04497264"/>
    <w:rsid w:val="051160A8"/>
    <w:rsid w:val="051E25B2"/>
    <w:rsid w:val="05412FEB"/>
    <w:rsid w:val="05473ABC"/>
    <w:rsid w:val="05810D93"/>
    <w:rsid w:val="06E710CA"/>
    <w:rsid w:val="06E93988"/>
    <w:rsid w:val="07BA233A"/>
    <w:rsid w:val="07E71BF5"/>
    <w:rsid w:val="08D76796"/>
    <w:rsid w:val="09C851E3"/>
    <w:rsid w:val="09D93396"/>
    <w:rsid w:val="0A083831"/>
    <w:rsid w:val="0A6273E5"/>
    <w:rsid w:val="0C187218"/>
    <w:rsid w:val="0D662D48"/>
    <w:rsid w:val="0F07770D"/>
    <w:rsid w:val="0FA36571"/>
    <w:rsid w:val="0FAE176B"/>
    <w:rsid w:val="102B2027"/>
    <w:rsid w:val="10716125"/>
    <w:rsid w:val="118C2781"/>
    <w:rsid w:val="12874FEB"/>
    <w:rsid w:val="13641CD2"/>
    <w:rsid w:val="14132899"/>
    <w:rsid w:val="143A2A49"/>
    <w:rsid w:val="156C736A"/>
    <w:rsid w:val="158565ED"/>
    <w:rsid w:val="15951651"/>
    <w:rsid w:val="15F64E85"/>
    <w:rsid w:val="1872175C"/>
    <w:rsid w:val="1A0F3E3B"/>
    <w:rsid w:val="1AFB48B2"/>
    <w:rsid w:val="1BA07D6D"/>
    <w:rsid w:val="1CCC6940"/>
    <w:rsid w:val="1EFA59E6"/>
    <w:rsid w:val="1FDB4D3C"/>
    <w:rsid w:val="21F94CCA"/>
    <w:rsid w:val="232D371B"/>
    <w:rsid w:val="24A042F1"/>
    <w:rsid w:val="24B41A04"/>
    <w:rsid w:val="259B3353"/>
    <w:rsid w:val="26153106"/>
    <w:rsid w:val="26867B2E"/>
    <w:rsid w:val="26A54F0B"/>
    <w:rsid w:val="2759382E"/>
    <w:rsid w:val="27EE5ACA"/>
    <w:rsid w:val="285D08F3"/>
    <w:rsid w:val="289522DC"/>
    <w:rsid w:val="28F97E28"/>
    <w:rsid w:val="2A77438F"/>
    <w:rsid w:val="2B122D8D"/>
    <w:rsid w:val="2BC453B2"/>
    <w:rsid w:val="2C5B55EB"/>
    <w:rsid w:val="2CCF04B2"/>
    <w:rsid w:val="2D917830"/>
    <w:rsid w:val="2DFB239F"/>
    <w:rsid w:val="2F1877C3"/>
    <w:rsid w:val="2F7B66D0"/>
    <w:rsid w:val="2F7E1D1C"/>
    <w:rsid w:val="3076603D"/>
    <w:rsid w:val="311772A4"/>
    <w:rsid w:val="319121DA"/>
    <w:rsid w:val="31FC5558"/>
    <w:rsid w:val="322A7F39"/>
    <w:rsid w:val="324D01C5"/>
    <w:rsid w:val="329C2BEC"/>
    <w:rsid w:val="32A970B0"/>
    <w:rsid w:val="33C27B28"/>
    <w:rsid w:val="374309BB"/>
    <w:rsid w:val="37490F27"/>
    <w:rsid w:val="3775636D"/>
    <w:rsid w:val="381A45AC"/>
    <w:rsid w:val="3A3E27D3"/>
    <w:rsid w:val="3AD666FC"/>
    <w:rsid w:val="3B266E3B"/>
    <w:rsid w:val="3C0B4DD9"/>
    <w:rsid w:val="3C317E93"/>
    <w:rsid w:val="3C461AED"/>
    <w:rsid w:val="3C88242C"/>
    <w:rsid w:val="3C9C5ED7"/>
    <w:rsid w:val="3D58666B"/>
    <w:rsid w:val="3E986769"/>
    <w:rsid w:val="3E9939ED"/>
    <w:rsid w:val="3F6C7DE3"/>
    <w:rsid w:val="3FC96FE3"/>
    <w:rsid w:val="40EE65D6"/>
    <w:rsid w:val="41EC71D1"/>
    <w:rsid w:val="41F226D5"/>
    <w:rsid w:val="435042A4"/>
    <w:rsid w:val="43A80260"/>
    <w:rsid w:val="43CC52F4"/>
    <w:rsid w:val="44FB62CC"/>
    <w:rsid w:val="45813EBC"/>
    <w:rsid w:val="466103CA"/>
    <w:rsid w:val="467B6B5D"/>
    <w:rsid w:val="46D01A4F"/>
    <w:rsid w:val="46FE6F07"/>
    <w:rsid w:val="47E07536"/>
    <w:rsid w:val="488261E9"/>
    <w:rsid w:val="48BC5937"/>
    <w:rsid w:val="48C42A3E"/>
    <w:rsid w:val="48E77FE8"/>
    <w:rsid w:val="49B16DC9"/>
    <w:rsid w:val="4A914BA1"/>
    <w:rsid w:val="4BE1285E"/>
    <w:rsid w:val="4C231CE0"/>
    <w:rsid w:val="4C2E4F25"/>
    <w:rsid w:val="4C325F10"/>
    <w:rsid w:val="4C50431F"/>
    <w:rsid w:val="4C7D6F7F"/>
    <w:rsid w:val="4C8A5D4C"/>
    <w:rsid w:val="4DBA6E7C"/>
    <w:rsid w:val="4EF56C95"/>
    <w:rsid w:val="4F9A44F8"/>
    <w:rsid w:val="51CB489B"/>
    <w:rsid w:val="52383B54"/>
    <w:rsid w:val="52950FA7"/>
    <w:rsid w:val="53130856"/>
    <w:rsid w:val="5376227B"/>
    <w:rsid w:val="540459BD"/>
    <w:rsid w:val="56521689"/>
    <w:rsid w:val="568B754D"/>
    <w:rsid w:val="576A78C0"/>
    <w:rsid w:val="5A7F4A16"/>
    <w:rsid w:val="5AD42DE5"/>
    <w:rsid w:val="5BC9018A"/>
    <w:rsid w:val="5C81474C"/>
    <w:rsid w:val="5CBB785C"/>
    <w:rsid w:val="5CEC5C67"/>
    <w:rsid w:val="5D2D2508"/>
    <w:rsid w:val="5DD456E3"/>
    <w:rsid w:val="5F096FA4"/>
    <w:rsid w:val="600C0AFA"/>
    <w:rsid w:val="60D07D7A"/>
    <w:rsid w:val="61CE6377"/>
    <w:rsid w:val="61EE5FDE"/>
    <w:rsid w:val="624F4CCE"/>
    <w:rsid w:val="628F2A9D"/>
    <w:rsid w:val="63321E0C"/>
    <w:rsid w:val="63847DD9"/>
    <w:rsid w:val="64996C5F"/>
    <w:rsid w:val="65043E03"/>
    <w:rsid w:val="65B65064"/>
    <w:rsid w:val="67B524DA"/>
    <w:rsid w:val="67C81DA9"/>
    <w:rsid w:val="68297D70"/>
    <w:rsid w:val="6864524C"/>
    <w:rsid w:val="688E447B"/>
    <w:rsid w:val="69710AAB"/>
    <w:rsid w:val="69DE0CFA"/>
    <w:rsid w:val="6A244C92"/>
    <w:rsid w:val="6BD340AB"/>
    <w:rsid w:val="6BF40694"/>
    <w:rsid w:val="6DDE7F68"/>
    <w:rsid w:val="6FD84D69"/>
    <w:rsid w:val="7047792D"/>
    <w:rsid w:val="714E7B5A"/>
    <w:rsid w:val="726B27F9"/>
    <w:rsid w:val="72903084"/>
    <w:rsid w:val="730C07DF"/>
    <w:rsid w:val="748102CE"/>
    <w:rsid w:val="74873E03"/>
    <w:rsid w:val="75D05CCE"/>
    <w:rsid w:val="783027DA"/>
    <w:rsid w:val="796A7518"/>
    <w:rsid w:val="7A052022"/>
    <w:rsid w:val="7A666C01"/>
    <w:rsid w:val="7AEE2205"/>
    <w:rsid w:val="7B045647"/>
    <w:rsid w:val="7BAB6FC2"/>
    <w:rsid w:val="7BB039B9"/>
    <w:rsid w:val="7BB3231A"/>
    <w:rsid w:val="7CE05937"/>
    <w:rsid w:val="7D2E53CE"/>
    <w:rsid w:val="7D6531A0"/>
    <w:rsid w:val="7D9161BE"/>
    <w:rsid w:val="7DC55F7B"/>
    <w:rsid w:val="7DEA3FF1"/>
    <w:rsid w:val="7FAE08F2"/>
    <w:rsid w:val="7FC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qFormat/>
    <w:uiPriority w:val="1"/>
    <w:pPr>
      <w:spacing w:before="28"/>
      <w:ind w:left="153"/>
      <w:jc w:val="center"/>
      <w:outlineLvl w:val="1"/>
    </w:pPr>
    <w:rPr>
      <w:rFonts w:ascii="仿宋" w:hAnsi="仿宋" w:eastAsia="仿宋" w:cs="仿宋"/>
      <w:b/>
      <w:bCs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24"/>
      <w:szCs w:val="24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qFormat/>
    <w:uiPriority w:val="1"/>
    <w:pPr>
      <w:spacing w:before="1"/>
      <w:ind w:left="1071" w:firstLine="480"/>
    </w:pPr>
    <w:rPr>
      <w:rFonts w:ascii="仿宋" w:hAnsi="仿宋" w:eastAsia="仿宋" w:cs="仿宋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2791</Words>
  <Characters>2875</Characters>
  <Lines>0</Lines>
  <Paragraphs>0</Paragraphs>
  <TotalTime>84</TotalTime>
  <ScaleCrop>false</ScaleCrop>
  <LinksUpToDate>false</LinksUpToDate>
  <CharactersWithSpaces>2879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2024-07-02T01:15:00Z</dcterms:created>
  <dc:creator>19874</dc:creator>
  <cp:lastModifiedBy>彭霄</cp:lastModifiedBy>
  <dcterms:modified xsi:type="dcterms:W3CDTF">2024-10-11T11:20:16Z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7BAFF2E9699D4B46BE8C366A23C03496_13</vt:lpwstr>
  </property>
</Properties>
</file>